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56228" w14:textId="77777777" w:rsidR="00A52040" w:rsidRPr="00924A94" w:rsidRDefault="00A52040" w:rsidP="00A52040">
      <w:pPr>
        <w:tabs>
          <w:tab w:val="left" w:pos="9000"/>
        </w:tabs>
        <w:ind w:left="720"/>
        <w:jc w:val="center"/>
        <w:rPr>
          <w:b/>
        </w:rPr>
      </w:pPr>
      <w:r w:rsidRPr="00924A94">
        <w:rPr>
          <w:b/>
        </w:rPr>
        <w:t>RESOLUTION NO. __________</w:t>
      </w:r>
    </w:p>
    <w:p w14:paraId="1AE37F69" w14:textId="77777777" w:rsidR="00A52040" w:rsidRPr="00924A94" w:rsidRDefault="00A52040" w:rsidP="00A52040">
      <w:pPr>
        <w:ind w:left="1440" w:right="1440" w:firstLine="720"/>
        <w:jc w:val="both"/>
        <w:rPr>
          <w:b/>
        </w:rPr>
      </w:pPr>
    </w:p>
    <w:p w14:paraId="249BA1AF" w14:textId="6EF9064E" w:rsidR="00A52040" w:rsidRPr="00924A94" w:rsidRDefault="00A52040" w:rsidP="00A52040">
      <w:pPr>
        <w:pStyle w:val="BodyTextIndent"/>
        <w:ind w:left="1260" w:right="1260" w:firstLine="0"/>
        <w:jc w:val="both"/>
        <w:rPr>
          <w:rFonts w:ascii="Times New Roman" w:hAnsi="Times New Roman"/>
          <w:b/>
          <w:szCs w:val="22"/>
        </w:rPr>
      </w:pPr>
      <w:r w:rsidRPr="00924A94">
        <w:rPr>
          <w:rFonts w:ascii="Times New Roman" w:hAnsi="Times New Roman"/>
          <w:b/>
          <w:szCs w:val="22"/>
        </w:rPr>
        <w:t xml:space="preserve">A Resolution </w:t>
      </w:r>
      <w:r w:rsidR="003A7813">
        <w:rPr>
          <w:rFonts w:ascii="Times New Roman" w:hAnsi="Times New Roman"/>
          <w:b/>
          <w:szCs w:val="22"/>
        </w:rPr>
        <w:t>for the City of South Miami to become a nominal sponsor of solar purchasing co-operatives organized by FLSUN.</w:t>
      </w:r>
    </w:p>
    <w:p w14:paraId="01967571" w14:textId="77777777" w:rsidR="00A52040" w:rsidRPr="00924A94" w:rsidRDefault="00A52040" w:rsidP="00A52040">
      <w:pPr>
        <w:ind w:firstLine="720"/>
        <w:rPr>
          <w:b/>
        </w:rPr>
      </w:pPr>
    </w:p>
    <w:p w14:paraId="354D01C3" w14:textId="20ABF326" w:rsidR="007D3B67" w:rsidRPr="007D3B67" w:rsidRDefault="007D3B67" w:rsidP="007D3B67">
      <w:pPr>
        <w:widowControl w:val="0"/>
        <w:tabs>
          <w:tab w:val="left" w:pos="8280"/>
        </w:tabs>
        <w:suppressAutoHyphens/>
        <w:autoSpaceDE w:val="0"/>
        <w:autoSpaceDN w:val="0"/>
        <w:adjustRightInd w:val="0"/>
        <w:ind w:firstLine="720"/>
        <w:jc w:val="both"/>
        <w:rPr>
          <w:rFonts w:cs="Courier New"/>
        </w:rPr>
      </w:pPr>
      <w:r w:rsidRPr="007D3B67">
        <w:rPr>
          <w:rFonts w:cs="Courier New"/>
          <w:b/>
        </w:rPr>
        <w:t>WHEREAS</w:t>
      </w:r>
      <w:r w:rsidRPr="007D3B67">
        <w:rPr>
          <w:rFonts w:cs="Courier New"/>
        </w:rPr>
        <w:t>, on November 8, 2016, voters in the State of Florida ("State") voted against</w:t>
      </w:r>
      <w:r>
        <w:rPr>
          <w:rFonts w:cs="Courier New"/>
        </w:rPr>
        <w:t xml:space="preserve"> </w:t>
      </w:r>
      <w:r w:rsidRPr="007D3B67">
        <w:rPr>
          <w:rFonts w:cs="Courier New"/>
        </w:rPr>
        <w:t>Amendment 1 that would have allowed there to be restrictions on rooftop solar panel expansion</w:t>
      </w:r>
      <w:r>
        <w:rPr>
          <w:rFonts w:cs="Courier New"/>
        </w:rPr>
        <w:t xml:space="preserve"> </w:t>
      </w:r>
      <w:r w:rsidRPr="007D3B67">
        <w:rPr>
          <w:rFonts w:cs="Courier New"/>
        </w:rPr>
        <w:t>for property owners in Florida; and</w:t>
      </w:r>
    </w:p>
    <w:p w14:paraId="6C8B5E28" w14:textId="77777777" w:rsidR="007D3B67" w:rsidRDefault="007D3B67" w:rsidP="007D3B67">
      <w:pPr>
        <w:widowControl w:val="0"/>
        <w:tabs>
          <w:tab w:val="left" w:pos="8280"/>
        </w:tabs>
        <w:suppressAutoHyphens/>
        <w:autoSpaceDE w:val="0"/>
        <w:autoSpaceDN w:val="0"/>
        <w:adjustRightInd w:val="0"/>
        <w:ind w:firstLine="720"/>
        <w:jc w:val="both"/>
        <w:rPr>
          <w:rFonts w:cs="Courier New"/>
          <w:b/>
        </w:rPr>
      </w:pPr>
    </w:p>
    <w:p w14:paraId="28AA8AC4" w14:textId="686A9F1E" w:rsidR="007D3B67" w:rsidRPr="007D3B67" w:rsidRDefault="007D3B67" w:rsidP="007D3B67">
      <w:pPr>
        <w:widowControl w:val="0"/>
        <w:tabs>
          <w:tab w:val="left" w:pos="8280"/>
        </w:tabs>
        <w:suppressAutoHyphens/>
        <w:autoSpaceDE w:val="0"/>
        <w:autoSpaceDN w:val="0"/>
        <w:adjustRightInd w:val="0"/>
        <w:ind w:firstLine="720"/>
        <w:jc w:val="both"/>
        <w:rPr>
          <w:rFonts w:cs="Courier New"/>
        </w:rPr>
      </w:pPr>
      <w:r w:rsidRPr="007D3B67">
        <w:rPr>
          <w:rFonts w:cs="Courier New"/>
          <w:b/>
        </w:rPr>
        <w:t>WHEREAS</w:t>
      </w:r>
      <w:r w:rsidRPr="007D3B67">
        <w:rPr>
          <w:rFonts w:cs="Courier New"/>
        </w:rPr>
        <w:t>, solar energy allows citizens to mo</w:t>
      </w:r>
      <w:r>
        <w:rPr>
          <w:rFonts w:cs="Courier New"/>
        </w:rPr>
        <w:t xml:space="preserve">ve energy consumption to a more </w:t>
      </w:r>
      <w:r w:rsidRPr="007D3B67">
        <w:rPr>
          <w:rFonts w:cs="Courier New"/>
        </w:rPr>
        <w:t>environmentally friendly source, providing a self-sustaining, pollution free form of energy; and</w:t>
      </w:r>
    </w:p>
    <w:p w14:paraId="052D8A3C" w14:textId="0DE882A8" w:rsidR="007D3B67" w:rsidRPr="00924A94" w:rsidRDefault="007D3B67" w:rsidP="007D3B67">
      <w:pPr>
        <w:widowControl w:val="0"/>
        <w:tabs>
          <w:tab w:val="left" w:pos="8280"/>
        </w:tabs>
        <w:suppressAutoHyphens/>
        <w:autoSpaceDE w:val="0"/>
        <w:autoSpaceDN w:val="0"/>
        <w:adjustRightInd w:val="0"/>
        <w:ind w:firstLine="720"/>
        <w:jc w:val="both"/>
        <w:rPr>
          <w:rFonts w:cs="Courier New"/>
        </w:rPr>
      </w:pPr>
      <w:r w:rsidRPr="007D3B67">
        <w:rPr>
          <w:rFonts w:cs="Courier New"/>
          <w:b/>
        </w:rPr>
        <w:t>WHEREAS</w:t>
      </w:r>
      <w:r w:rsidRPr="007D3B67">
        <w:rPr>
          <w:rFonts w:cs="Courier New"/>
        </w:rPr>
        <w:t>, it is in the interests of the residents of the</w:t>
      </w:r>
      <w:r>
        <w:rPr>
          <w:rFonts w:cs="Courier New"/>
        </w:rPr>
        <w:t xml:space="preserve"> City of South Miami ("City") to </w:t>
      </w:r>
      <w:r w:rsidRPr="007D3B67">
        <w:rPr>
          <w:rFonts w:cs="Courier New"/>
        </w:rPr>
        <w:t>and benefit from renewable energy such as solar power; and</w:t>
      </w:r>
    </w:p>
    <w:p w14:paraId="7BBB4976" w14:textId="77777777" w:rsidR="00A52040" w:rsidRPr="00924A94" w:rsidRDefault="00A52040" w:rsidP="00A52040">
      <w:pPr>
        <w:widowControl w:val="0"/>
        <w:tabs>
          <w:tab w:val="left" w:pos="9000"/>
        </w:tabs>
        <w:suppressAutoHyphens/>
        <w:autoSpaceDE w:val="0"/>
        <w:autoSpaceDN w:val="0"/>
        <w:adjustRightInd w:val="0"/>
        <w:ind w:right="990"/>
        <w:jc w:val="both"/>
        <w:rPr>
          <w:rFonts w:cs="Courier New"/>
        </w:rPr>
      </w:pPr>
    </w:p>
    <w:p w14:paraId="5B967E9B" w14:textId="679CA657" w:rsidR="007D3B67" w:rsidRDefault="007D3B67" w:rsidP="007D3B67">
      <w:pPr>
        <w:widowControl w:val="0"/>
        <w:tabs>
          <w:tab w:val="left" w:pos="8280"/>
        </w:tabs>
        <w:suppressAutoHyphens/>
        <w:autoSpaceDE w:val="0"/>
        <w:autoSpaceDN w:val="0"/>
        <w:adjustRightInd w:val="0"/>
        <w:ind w:firstLine="720"/>
        <w:jc w:val="both"/>
        <w:rPr>
          <w:rFonts w:cs="Courier New"/>
        </w:rPr>
      </w:pPr>
      <w:r w:rsidRPr="00924A94">
        <w:rPr>
          <w:b/>
        </w:rPr>
        <w:t xml:space="preserve">WHEREAS, </w:t>
      </w:r>
      <w:r>
        <w:t>the City of South Miami is a charter member of the Green Corridor interlocal coalition, devoted to providing renewable energy to residents of Miami-Dade County</w:t>
      </w:r>
      <w:r w:rsidRPr="00924A94">
        <w:rPr>
          <w:rFonts w:cs="Courier New"/>
        </w:rPr>
        <w:t xml:space="preserve">; and </w:t>
      </w:r>
    </w:p>
    <w:p w14:paraId="3783F533" w14:textId="77777777" w:rsidR="007D3B67" w:rsidRDefault="007D3B67" w:rsidP="007D3B67">
      <w:pPr>
        <w:widowControl w:val="0"/>
        <w:tabs>
          <w:tab w:val="left" w:pos="8280"/>
        </w:tabs>
        <w:suppressAutoHyphens/>
        <w:autoSpaceDE w:val="0"/>
        <w:autoSpaceDN w:val="0"/>
        <w:adjustRightInd w:val="0"/>
        <w:ind w:firstLine="720"/>
        <w:jc w:val="both"/>
        <w:rPr>
          <w:rFonts w:cs="Courier New"/>
        </w:rPr>
      </w:pPr>
    </w:p>
    <w:p w14:paraId="5AFE202C" w14:textId="6A8DC19D" w:rsidR="00A52040" w:rsidRDefault="00A52040" w:rsidP="00A52040">
      <w:pPr>
        <w:ind w:firstLine="720"/>
        <w:jc w:val="both"/>
      </w:pPr>
      <w:r w:rsidRPr="00924A94">
        <w:rPr>
          <w:b/>
        </w:rPr>
        <w:t xml:space="preserve">WHEREAS, </w:t>
      </w:r>
      <w:r w:rsidR="007D3B67">
        <w:t xml:space="preserve">the Green Corridor Board has provided </w:t>
      </w:r>
      <w:r w:rsidR="003A7813">
        <w:t>a grant</w:t>
      </w:r>
      <w:r w:rsidR="007D3B67">
        <w:t xml:space="preserve"> to FLSUN to create solar buying co-operatives for residents of Miami-Dade County</w:t>
      </w:r>
      <w:r w:rsidR="003A7813">
        <w:t xml:space="preserve"> including South Miami</w:t>
      </w:r>
      <w:r w:rsidR="007D3B67">
        <w:t>; and</w:t>
      </w:r>
    </w:p>
    <w:p w14:paraId="4ECCE2FA" w14:textId="77777777" w:rsidR="007D3B67" w:rsidRDefault="007D3B67" w:rsidP="00A52040">
      <w:pPr>
        <w:ind w:firstLine="720"/>
        <w:jc w:val="both"/>
      </w:pPr>
    </w:p>
    <w:p w14:paraId="6005BA81" w14:textId="2D61A3C4" w:rsidR="007D3B67" w:rsidRDefault="007D3B67" w:rsidP="003A7813">
      <w:pPr>
        <w:ind w:firstLine="720"/>
        <w:jc w:val="both"/>
      </w:pPr>
      <w:r w:rsidRPr="00924A94">
        <w:rPr>
          <w:b/>
        </w:rPr>
        <w:t xml:space="preserve">WHEREAS, </w:t>
      </w:r>
      <w:r>
        <w:t xml:space="preserve">existing sponsors for the FLSUN co-ops include </w:t>
      </w:r>
      <w:r w:rsidR="00622E72" w:rsidRPr="00622E72">
        <w:t>The League of Women Voters, Florida, League of Women Voters Miami-Dade, The Green Corridor Property Assessment Clean Energy (PACE) District, Tropical Audubon Society, Rise Up Florida, CLEO Institute, Citizens Climate Lobby, Sustainable Miami, Resilient Miami, Urban Impact Lab, Women’s March Miami, The Unitarian Universalists Congregation of Miami, Earth Ethics Institute, Miami-Dade College</w:t>
      </w:r>
      <w:r w:rsidR="003A7813">
        <w:t>,</w:t>
      </w:r>
      <w:r w:rsidR="00622E72" w:rsidRPr="00622E72">
        <w:t xml:space="preserve"> and </w:t>
      </w:r>
      <w:r w:rsidR="003A7813">
        <w:t xml:space="preserve">City of Miami </w:t>
      </w:r>
      <w:r w:rsidR="00622E72" w:rsidRPr="00622E72">
        <w:t>Co</w:t>
      </w:r>
      <w:r w:rsidR="003A7813">
        <w:t>mmissioner Ken Russell’s Office; and</w:t>
      </w:r>
    </w:p>
    <w:p w14:paraId="1713B65C" w14:textId="77777777" w:rsidR="003A7813" w:rsidRDefault="003A7813" w:rsidP="003A7813">
      <w:pPr>
        <w:ind w:firstLine="720"/>
        <w:jc w:val="both"/>
        <w:rPr>
          <w:b/>
        </w:rPr>
      </w:pPr>
    </w:p>
    <w:p w14:paraId="4643AD71" w14:textId="0C02E3C4" w:rsidR="003A7813" w:rsidRPr="00924A94" w:rsidRDefault="003A7813" w:rsidP="003A7813">
      <w:pPr>
        <w:ind w:firstLine="720"/>
        <w:jc w:val="both"/>
      </w:pPr>
      <w:r w:rsidRPr="00924A94">
        <w:rPr>
          <w:b/>
        </w:rPr>
        <w:t xml:space="preserve">WHEREAS, </w:t>
      </w:r>
      <w:r>
        <w:t>becoming a sponsor of FLSUN co-ops does not require the City to expend funds.</w:t>
      </w:r>
    </w:p>
    <w:p w14:paraId="62250C94" w14:textId="77777777" w:rsidR="00A52040" w:rsidRPr="00924A94" w:rsidRDefault="00A52040" w:rsidP="00A52040">
      <w:pPr>
        <w:ind w:firstLine="720"/>
        <w:jc w:val="both"/>
      </w:pPr>
    </w:p>
    <w:p w14:paraId="42606661" w14:textId="77777777" w:rsidR="00A52040" w:rsidRPr="00924A94" w:rsidRDefault="00A52040" w:rsidP="00A52040">
      <w:pPr>
        <w:ind w:firstLine="720"/>
        <w:jc w:val="both"/>
        <w:rPr>
          <w:b/>
        </w:rPr>
      </w:pPr>
      <w:r w:rsidRPr="00924A94">
        <w:rPr>
          <w:b/>
        </w:rPr>
        <w:t>NOW, THEREFORE, BE IT RESOLVED BY THE MAYOR AND CITY COMMISSION OF THE CITY OF SOUTH MIAMI, FLORIDA, THAT:</w:t>
      </w:r>
    </w:p>
    <w:p w14:paraId="07445E33" w14:textId="77777777" w:rsidR="00A52040" w:rsidRPr="00924A94" w:rsidRDefault="00A52040" w:rsidP="00A52040">
      <w:pPr>
        <w:pStyle w:val="BodyTextIndent"/>
        <w:rPr>
          <w:rFonts w:ascii="Times New Roman" w:hAnsi="Times New Roman"/>
          <w:szCs w:val="24"/>
        </w:rPr>
      </w:pPr>
    </w:p>
    <w:p w14:paraId="64DE7E87" w14:textId="4DA3D8EF" w:rsidR="00A52040" w:rsidRPr="00924A94" w:rsidRDefault="00A52040" w:rsidP="00A52040">
      <w:pPr>
        <w:ind w:firstLine="720"/>
        <w:jc w:val="both"/>
      </w:pPr>
      <w:r w:rsidRPr="00924A94">
        <w:rPr>
          <w:b/>
          <w:u w:val="single"/>
        </w:rPr>
        <w:t>Section 1.</w:t>
      </w:r>
      <w:r w:rsidRPr="00924A94">
        <w:tab/>
        <w:t xml:space="preserve">The City Commission hereby </w:t>
      </w:r>
      <w:r w:rsidR="003A7813">
        <w:t xml:space="preserve">agrees to be a sponsor of the FLSUN solar purchasing co-ops at no cost to the City, </w:t>
      </w:r>
      <w:bookmarkStart w:id="0" w:name="_GoBack"/>
      <w:bookmarkEnd w:id="0"/>
      <w:r w:rsidR="003A7813">
        <w:t>and authorizes the City Manager to allow FLSUN to use the City’s logo on its sponsorship page along with logos from the other sponsoring entities.</w:t>
      </w:r>
    </w:p>
    <w:p w14:paraId="46A8DD21" w14:textId="77777777" w:rsidR="00A52040" w:rsidRPr="00924A94" w:rsidRDefault="00A52040" w:rsidP="00A52040">
      <w:pPr>
        <w:ind w:firstLine="720"/>
        <w:jc w:val="both"/>
      </w:pPr>
    </w:p>
    <w:p w14:paraId="05B1781A" w14:textId="0E8FC644" w:rsidR="00A52040" w:rsidRDefault="00A52040" w:rsidP="00A52040">
      <w:pPr>
        <w:ind w:firstLine="720"/>
        <w:jc w:val="both"/>
      </w:pPr>
      <w:r w:rsidRPr="00924A94">
        <w:rPr>
          <w:b/>
          <w:u w:val="single"/>
        </w:rPr>
        <w:t xml:space="preserve">Section </w:t>
      </w:r>
      <w:r w:rsidR="003A7813">
        <w:rPr>
          <w:b/>
          <w:u w:val="single"/>
        </w:rPr>
        <w:t>2</w:t>
      </w:r>
      <w:r w:rsidRPr="00924A94">
        <w:rPr>
          <w:b/>
          <w:u w:val="single"/>
        </w:rPr>
        <w:t>.</w:t>
      </w:r>
      <w:r w:rsidRPr="00924A94">
        <w:tab/>
      </w:r>
      <w:r w:rsidRPr="008E6199">
        <w:t>If any section clause, sentence, or phrase of this resolution is for any reason held</w:t>
      </w:r>
      <w:r>
        <w:t xml:space="preserve"> </w:t>
      </w:r>
      <w:r w:rsidRPr="008E6199">
        <w:t>invalid or unconstitutional by a court of competent jurisdiction, the holding shall not affect the validity of</w:t>
      </w:r>
      <w:r>
        <w:t xml:space="preserve"> </w:t>
      </w:r>
      <w:r w:rsidRPr="008E6199">
        <w:t>the remaining portions of this resolution.</w:t>
      </w:r>
    </w:p>
    <w:p w14:paraId="04592C48" w14:textId="77777777" w:rsidR="00A52040" w:rsidRPr="00924A94" w:rsidRDefault="00A52040" w:rsidP="00A52040">
      <w:pPr>
        <w:ind w:firstLine="720"/>
        <w:jc w:val="both"/>
      </w:pPr>
    </w:p>
    <w:p w14:paraId="6C04676C" w14:textId="4139CD30" w:rsidR="00A52040" w:rsidRPr="00924A94" w:rsidRDefault="00A52040" w:rsidP="00A52040">
      <w:pPr>
        <w:ind w:firstLine="720"/>
        <w:jc w:val="both"/>
      </w:pPr>
      <w:r w:rsidRPr="00924A94">
        <w:rPr>
          <w:b/>
          <w:u w:val="single"/>
        </w:rPr>
        <w:t>Sectio</w:t>
      </w:r>
      <w:r w:rsidR="003A7813">
        <w:rPr>
          <w:b/>
          <w:u w:val="single"/>
        </w:rPr>
        <w:t>n 3</w:t>
      </w:r>
      <w:r w:rsidRPr="00924A94">
        <w:rPr>
          <w:b/>
          <w:u w:val="single"/>
        </w:rPr>
        <w:t>.</w:t>
      </w:r>
      <w:r w:rsidRPr="00924A94">
        <w:tab/>
        <w:t>This resolution shall take effect immediately upon adoption.</w:t>
      </w:r>
    </w:p>
    <w:p w14:paraId="00008CF4" w14:textId="77777777" w:rsidR="00A52040" w:rsidRPr="00924A94" w:rsidRDefault="00A52040" w:rsidP="00A52040">
      <w:pPr>
        <w:ind w:firstLine="720"/>
        <w:jc w:val="both"/>
      </w:pPr>
    </w:p>
    <w:p w14:paraId="302C23B7" w14:textId="396534B5" w:rsidR="00A52040" w:rsidRPr="00924A94" w:rsidRDefault="00A52040" w:rsidP="00A52040">
      <w:pPr>
        <w:ind w:firstLine="720"/>
        <w:jc w:val="both"/>
      </w:pPr>
      <w:r>
        <w:t>PASSED AND ADOPTED</w:t>
      </w:r>
      <w:r w:rsidRPr="00924A94">
        <w:t xml:space="preserve"> this </w:t>
      </w:r>
      <w:r>
        <w:rPr>
          <w:u w:val="single"/>
        </w:rPr>
        <w:t xml:space="preserve">        </w:t>
      </w:r>
      <w:r w:rsidRPr="00924A94">
        <w:rPr>
          <w:u w:val="single"/>
          <w:vertAlign w:val="superscript"/>
        </w:rPr>
        <w:t>th</w:t>
      </w:r>
      <w:r w:rsidRPr="00924A94">
        <w:rPr>
          <w:u w:val="single"/>
        </w:rPr>
        <w:t xml:space="preserve"> </w:t>
      </w:r>
      <w:r w:rsidRPr="00924A94">
        <w:t xml:space="preserve">day of </w:t>
      </w:r>
      <w:r>
        <w:rPr>
          <w:u w:val="single"/>
        </w:rPr>
        <w:t xml:space="preserve">                         </w:t>
      </w:r>
      <w:r w:rsidR="004A7E8F">
        <w:t>, 2017</w:t>
      </w:r>
      <w:r w:rsidRPr="00924A94">
        <w:t>.</w:t>
      </w:r>
    </w:p>
    <w:p w14:paraId="2862EA5E" w14:textId="77777777" w:rsidR="00A52040" w:rsidRPr="00924A94" w:rsidRDefault="00A52040" w:rsidP="00A52040">
      <w:pPr>
        <w:jc w:val="both"/>
      </w:pPr>
      <w:r w:rsidRPr="00924A94">
        <w:tab/>
      </w:r>
      <w:r w:rsidRPr="00924A94">
        <w:tab/>
      </w:r>
      <w:r w:rsidRPr="00924A94">
        <w:tab/>
      </w:r>
      <w:r w:rsidRPr="00924A94">
        <w:tab/>
      </w:r>
      <w:r w:rsidRPr="00924A94">
        <w:tab/>
      </w:r>
      <w:r w:rsidRPr="00924A94">
        <w:tab/>
      </w:r>
      <w:r w:rsidRPr="00924A94">
        <w:tab/>
      </w:r>
    </w:p>
    <w:p w14:paraId="75C5D2F7" w14:textId="77777777" w:rsidR="00A52040" w:rsidRPr="00924A94" w:rsidRDefault="00A52040" w:rsidP="00A52040">
      <w:pPr>
        <w:jc w:val="both"/>
      </w:pPr>
      <w:r w:rsidRPr="00924A94">
        <w:t>ATTEST:</w:t>
      </w:r>
      <w:r w:rsidRPr="00924A94">
        <w:tab/>
      </w:r>
      <w:r w:rsidRPr="00924A94">
        <w:tab/>
      </w:r>
      <w:r w:rsidRPr="00924A94">
        <w:tab/>
      </w:r>
      <w:r w:rsidRPr="00924A94">
        <w:tab/>
      </w:r>
      <w:r w:rsidRPr="00924A94">
        <w:tab/>
      </w:r>
      <w:r w:rsidRPr="00924A94">
        <w:tab/>
        <w:t>APPROVED:</w:t>
      </w:r>
    </w:p>
    <w:p w14:paraId="413B3E20" w14:textId="77777777" w:rsidR="00A52040" w:rsidRPr="00924A94" w:rsidRDefault="00A52040" w:rsidP="00A52040">
      <w:pPr>
        <w:jc w:val="both"/>
      </w:pPr>
    </w:p>
    <w:p w14:paraId="18CB16C9" w14:textId="77777777" w:rsidR="00A52040" w:rsidRPr="00924A94" w:rsidRDefault="00A52040" w:rsidP="00A52040">
      <w:pPr>
        <w:jc w:val="both"/>
      </w:pPr>
      <w:r w:rsidRPr="00924A94">
        <w:t>_________________________</w:t>
      </w:r>
      <w:r w:rsidRPr="00924A94">
        <w:tab/>
      </w:r>
      <w:r w:rsidRPr="00924A94">
        <w:tab/>
      </w:r>
      <w:r w:rsidRPr="00924A94">
        <w:tab/>
        <w:t>___________________________</w:t>
      </w:r>
    </w:p>
    <w:p w14:paraId="4235E999" w14:textId="77777777" w:rsidR="00A52040" w:rsidRDefault="00A52040" w:rsidP="00A52040">
      <w:pPr>
        <w:jc w:val="both"/>
      </w:pPr>
      <w:r>
        <w:t>CITY CLERK</w:t>
      </w:r>
      <w:r w:rsidRPr="00924A94">
        <w:tab/>
      </w:r>
      <w:r>
        <w:tab/>
      </w:r>
      <w:r>
        <w:tab/>
      </w:r>
      <w:r>
        <w:tab/>
      </w:r>
      <w:r>
        <w:tab/>
      </w:r>
      <w:r>
        <w:tab/>
        <w:t>MAYOR</w:t>
      </w:r>
    </w:p>
    <w:p w14:paraId="294F5E7C" w14:textId="77777777" w:rsidR="00A52040" w:rsidRDefault="00A52040" w:rsidP="00A52040">
      <w:pPr>
        <w:jc w:val="both"/>
      </w:pPr>
    </w:p>
    <w:p w14:paraId="64E894F5" w14:textId="77777777" w:rsidR="00A52040" w:rsidRPr="00924A94" w:rsidRDefault="00A52040" w:rsidP="00A52040">
      <w:pPr>
        <w:jc w:val="both"/>
      </w:pPr>
      <w:r>
        <w:t>READ AND APPROVED AS TO FORM,</w:t>
      </w:r>
      <w:r>
        <w:tab/>
      </w:r>
      <w:r>
        <w:tab/>
        <w:t>COMMISSION VOTE</w:t>
      </w:r>
    </w:p>
    <w:p w14:paraId="49A77A02" w14:textId="77777777" w:rsidR="00A52040" w:rsidRPr="00924A94" w:rsidRDefault="00A52040" w:rsidP="00A52040">
      <w:pPr>
        <w:jc w:val="both"/>
      </w:pPr>
      <w:r>
        <w:t>LANGUAGE, LEGALITY,</w:t>
      </w:r>
      <w:r>
        <w:tab/>
      </w:r>
      <w:r w:rsidRPr="00924A94">
        <w:tab/>
      </w:r>
      <w:r w:rsidRPr="00924A94">
        <w:tab/>
      </w:r>
      <w:r w:rsidRPr="00924A94">
        <w:tab/>
        <w:t>Mayor Stoddard:</w:t>
      </w:r>
    </w:p>
    <w:p w14:paraId="390073FF" w14:textId="77777777" w:rsidR="00A52040" w:rsidRPr="00924A94" w:rsidRDefault="00A52040" w:rsidP="00A52040">
      <w:pPr>
        <w:jc w:val="both"/>
      </w:pPr>
      <w:r>
        <w:t>AND EXECUTION THEREOF</w:t>
      </w:r>
      <w:r w:rsidRPr="00924A94">
        <w:t>:</w:t>
      </w:r>
      <w:r>
        <w:tab/>
      </w:r>
      <w:r w:rsidRPr="00924A94">
        <w:tab/>
      </w:r>
      <w:r w:rsidRPr="00924A94">
        <w:tab/>
        <w:t xml:space="preserve">Vice Mayor </w:t>
      </w:r>
      <w:r>
        <w:t>Welsh</w:t>
      </w:r>
      <w:r w:rsidRPr="00924A94">
        <w:t>:</w:t>
      </w:r>
    </w:p>
    <w:p w14:paraId="616ECC3C" w14:textId="77777777" w:rsidR="00A52040" w:rsidRPr="00924A94" w:rsidRDefault="00A52040" w:rsidP="00A52040">
      <w:pPr>
        <w:jc w:val="both"/>
      </w:pPr>
      <w:r w:rsidRPr="00924A94">
        <w:tab/>
      </w:r>
      <w:r w:rsidRPr="00924A94">
        <w:tab/>
      </w:r>
      <w:r w:rsidRPr="00924A94">
        <w:tab/>
      </w:r>
      <w:r w:rsidRPr="00924A94">
        <w:tab/>
      </w:r>
      <w:r w:rsidRPr="00924A94">
        <w:tab/>
      </w:r>
      <w:r w:rsidRPr="00924A94">
        <w:tab/>
      </w:r>
      <w:r w:rsidRPr="00924A94">
        <w:tab/>
        <w:t xml:space="preserve">Commissioner </w:t>
      </w:r>
      <w:r>
        <w:t>Edmond</w:t>
      </w:r>
      <w:r w:rsidRPr="00924A94">
        <w:t>:</w:t>
      </w:r>
    </w:p>
    <w:p w14:paraId="729E0863" w14:textId="77777777" w:rsidR="00A52040" w:rsidRDefault="00A52040" w:rsidP="00A52040">
      <w:pPr>
        <w:jc w:val="both"/>
      </w:pPr>
      <w:r w:rsidRPr="00924A94">
        <w:tab/>
      </w:r>
      <w:r w:rsidRPr="00924A94">
        <w:tab/>
      </w:r>
      <w:r w:rsidRPr="00924A94">
        <w:tab/>
      </w:r>
      <w:r w:rsidRPr="00924A94">
        <w:tab/>
      </w:r>
      <w:r w:rsidRPr="00924A94">
        <w:tab/>
      </w:r>
      <w:r w:rsidRPr="00924A94">
        <w:tab/>
      </w:r>
      <w:r w:rsidRPr="00924A94">
        <w:tab/>
      </w:r>
      <w:r>
        <w:t>Commissioner Harris:</w:t>
      </w:r>
    </w:p>
    <w:p w14:paraId="33B4C211" w14:textId="77777777" w:rsidR="00A52040" w:rsidRPr="00924A94" w:rsidRDefault="00A52040" w:rsidP="00A52040">
      <w:pPr>
        <w:ind w:left="4320" w:firstLine="720"/>
        <w:jc w:val="both"/>
      </w:pPr>
      <w:r w:rsidRPr="00924A94">
        <w:t xml:space="preserve">Commissioner </w:t>
      </w:r>
      <w:r>
        <w:t>Liebman</w:t>
      </w:r>
      <w:r w:rsidRPr="00924A94">
        <w:t>:</w:t>
      </w:r>
    </w:p>
    <w:p w14:paraId="3885C2A5" w14:textId="77777777" w:rsidR="00A52040" w:rsidRPr="00924A94" w:rsidRDefault="00A52040" w:rsidP="00A52040">
      <w:pPr>
        <w:jc w:val="both"/>
      </w:pPr>
    </w:p>
    <w:p w14:paraId="7E88FDD1" w14:textId="77777777" w:rsidR="00A52040" w:rsidRPr="00924A94" w:rsidRDefault="00A52040" w:rsidP="00A52040">
      <w:pPr>
        <w:jc w:val="both"/>
      </w:pPr>
      <w:r w:rsidRPr="00924A94">
        <w:t xml:space="preserve">____________________________ </w:t>
      </w:r>
      <w:r w:rsidRPr="00924A94">
        <w:tab/>
      </w:r>
      <w:r w:rsidRPr="00924A94">
        <w:tab/>
      </w:r>
      <w:r w:rsidRPr="00924A94">
        <w:tab/>
      </w:r>
    </w:p>
    <w:p w14:paraId="687E3EDF" w14:textId="77777777" w:rsidR="00A52040" w:rsidRPr="00924A94" w:rsidRDefault="00A52040" w:rsidP="00A52040">
      <w:pPr>
        <w:jc w:val="both"/>
      </w:pPr>
      <w:r w:rsidRPr="00924A94">
        <w:t xml:space="preserve">CITY ATTORNEY </w:t>
      </w:r>
      <w:r w:rsidRPr="00924A94">
        <w:tab/>
      </w:r>
    </w:p>
    <w:p w14:paraId="4E3EEC45" w14:textId="77777777" w:rsidR="00A52040" w:rsidRPr="00924A94" w:rsidRDefault="00A52040" w:rsidP="00A52040">
      <w:pPr>
        <w:jc w:val="both"/>
      </w:pPr>
    </w:p>
    <w:sectPr w:rsidR="00A52040" w:rsidRPr="00924A94" w:rsidSect="00A52040">
      <w:footerReference w:type="default" r:id="rId6"/>
      <w:type w:val="continuous"/>
      <w:pgSz w:w="12240" w:h="15840" w:code="1"/>
      <w:pgMar w:top="1440" w:right="2074" w:bottom="994" w:left="1440" w:header="720" w:footer="720" w:gutter="0"/>
      <w:lnNumType w:countBy="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DBFAA" w14:textId="77777777" w:rsidR="00F73ABD" w:rsidRDefault="00F73ABD">
      <w:r>
        <w:separator/>
      </w:r>
    </w:p>
  </w:endnote>
  <w:endnote w:type="continuationSeparator" w:id="0">
    <w:p w14:paraId="7689C690" w14:textId="77777777" w:rsidR="00F73ABD" w:rsidRDefault="00F7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50D28" w14:textId="77777777" w:rsidR="00A52040" w:rsidRDefault="00A52040">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A7813">
      <w:rPr>
        <w:noProof/>
        <w:snapToGrid w:val="0"/>
      </w:rPr>
      <w:t>2</w:t>
    </w:r>
    <w:r>
      <w:rPr>
        <w:snapToGrid w:val="0"/>
      </w:rPr>
      <w:fldChar w:fldCharType="end"/>
    </w:r>
    <w:r>
      <w:rPr>
        <w:snapToGrid w:val="0"/>
      </w:rP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BD999" w14:textId="77777777" w:rsidR="00F73ABD" w:rsidRDefault="00F73ABD">
      <w:r>
        <w:separator/>
      </w:r>
    </w:p>
  </w:footnote>
  <w:footnote w:type="continuationSeparator" w:id="0">
    <w:p w14:paraId="74BFB205" w14:textId="77777777" w:rsidR="00F73ABD" w:rsidRDefault="00F73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5E"/>
    <w:rsid w:val="00186510"/>
    <w:rsid w:val="001B03D8"/>
    <w:rsid w:val="001B04EF"/>
    <w:rsid w:val="0030145E"/>
    <w:rsid w:val="003A7813"/>
    <w:rsid w:val="004A7E8F"/>
    <w:rsid w:val="00622E72"/>
    <w:rsid w:val="007D3B67"/>
    <w:rsid w:val="00866680"/>
    <w:rsid w:val="00A52040"/>
    <w:rsid w:val="00F73ABD"/>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3340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22E72"/>
    <w:rPr>
      <w:sz w:val="24"/>
      <w:szCs w:val="24"/>
    </w:rPr>
  </w:style>
  <w:style w:type="paragraph" w:styleId="Heading1">
    <w:name w:val="heading 1"/>
    <w:basedOn w:val="Normal"/>
    <w:next w:val="Normal"/>
    <w:qFormat/>
    <w:pPr>
      <w:keepNext/>
      <w:ind w:right="1440"/>
      <w:jc w:val="center"/>
      <w:outlineLvl w:val="0"/>
    </w:pPr>
    <w:rPr>
      <w:b/>
      <w:sz w:val="36"/>
      <w:szCs w:val="20"/>
    </w:rPr>
  </w:style>
  <w:style w:type="paragraph" w:styleId="Heading2">
    <w:name w:val="heading 2"/>
    <w:basedOn w:val="Normal"/>
    <w:next w:val="Normal"/>
    <w:qFormat/>
    <w:pPr>
      <w:keepNext/>
      <w:jc w:val="center"/>
      <w:outlineLvl w:val="1"/>
    </w:pPr>
    <w:rPr>
      <w:b/>
      <w:szCs w:val="20"/>
    </w:rPr>
  </w:style>
  <w:style w:type="paragraph" w:styleId="Heading3">
    <w:name w:val="heading 3"/>
    <w:basedOn w:val="Normal"/>
    <w:next w:val="Normal"/>
    <w:qFormat/>
    <w:pPr>
      <w:keepNext/>
      <w:outlineLvl w:val="2"/>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lockText">
    <w:name w:val="Block Text"/>
    <w:basedOn w:val="Normal"/>
    <w:pPr>
      <w:ind w:left="720" w:right="720" w:hanging="720"/>
      <w:jc w:val="both"/>
    </w:pPr>
    <w:rPr>
      <w:sz w:val="26"/>
      <w:szCs w:val="20"/>
    </w:rPr>
  </w:style>
  <w:style w:type="paragraph" w:styleId="BodyText">
    <w:name w:val="Body Text"/>
    <w:basedOn w:val="Normal"/>
    <w:pPr>
      <w:jc w:val="both"/>
    </w:pPr>
    <w:rPr>
      <w:sz w:val="26"/>
      <w:szCs w:val="20"/>
    </w:rPr>
  </w:style>
  <w:style w:type="paragraph" w:styleId="Header">
    <w:name w:val="header"/>
    <w:basedOn w:val="Normal"/>
    <w:pPr>
      <w:tabs>
        <w:tab w:val="center" w:pos="4320"/>
        <w:tab w:val="right" w:pos="8640"/>
      </w:tabs>
    </w:pPr>
    <w:rPr>
      <w:sz w:val="26"/>
      <w:szCs w:val="20"/>
    </w:rPr>
  </w:style>
  <w:style w:type="paragraph" w:styleId="Footer">
    <w:name w:val="footer"/>
    <w:basedOn w:val="Normal"/>
    <w:pPr>
      <w:tabs>
        <w:tab w:val="center" w:pos="4320"/>
        <w:tab w:val="right" w:pos="8640"/>
      </w:tabs>
    </w:pPr>
    <w:rPr>
      <w:sz w:val="26"/>
      <w:szCs w:val="20"/>
    </w:rPr>
  </w:style>
  <w:style w:type="character" w:styleId="LineNumber">
    <w:name w:val="line number"/>
    <w:basedOn w:val="DefaultParagraphFont"/>
  </w:style>
  <w:style w:type="paragraph" w:styleId="BodyText2">
    <w:name w:val="Body Text 2"/>
    <w:basedOn w:val="Normal"/>
    <w:pPr>
      <w:tabs>
        <w:tab w:val="left" w:pos="720"/>
        <w:tab w:val="left" w:pos="5490"/>
        <w:tab w:val="left" w:pos="6750"/>
      </w:tabs>
    </w:pPr>
    <w:rPr>
      <w:szCs w:val="20"/>
    </w:rPr>
  </w:style>
  <w:style w:type="paragraph" w:styleId="BodyTextIndent">
    <w:name w:val="Body Text Indent"/>
    <w:basedOn w:val="Normal"/>
    <w:pPr>
      <w:ind w:left="720" w:firstLine="720"/>
    </w:pPr>
    <w:rPr>
      <w:rFonts w:ascii="CG Times (W1)" w:hAnsi="CG Times (W1)"/>
      <w:szCs w:val="20"/>
    </w:rPr>
  </w:style>
  <w:style w:type="paragraph" w:styleId="BodyTextIndent3">
    <w:name w:val="Body Text Indent 3"/>
    <w:basedOn w:val="Normal"/>
    <w:pPr>
      <w:ind w:firstLine="720"/>
      <w:jc w:val="both"/>
    </w:pPr>
    <w:rPr>
      <w:sz w:val="26"/>
      <w:szCs w:val="20"/>
    </w:rPr>
  </w:style>
  <w:style w:type="paragraph" w:styleId="BalloonText">
    <w:name w:val="Balloon Text"/>
    <w:basedOn w:val="Normal"/>
    <w:semiHidden/>
    <w:rsid w:val="00850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71236">
      <w:bodyDiv w:val="1"/>
      <w:marLeft w:val="0"/>
      <w:marRight w:val="0"/>
      <w:marTop w:val="0"/>
      <w:marBottom w:val="0"/>
      <w:divBdr>
        <w:top w:val="none" w:sz="0" w:space="0" w:color="auto"/>
        <w:left w:val="none" w:sz="0" w:space="0" w:color="auto"/>
        <w:bottom w:val="none" w:sz="0" w:space="0" w:color="auto"/>
        <w:right w:val="none" w:sz="0" w:space="0" w:color="auto"/>
      </w:divBdr>
    </w:div>
    <w:div w:id="18554608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413</Words>
  <Characters>2356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RESOLUTION NO</vt:lpstr>
    </vt:vector>
  </TitlesOfParts>
  <Company>NGF</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Stephanie Shine</dc:creator>
  <cp:keywords/>
  <dc:description/>
  <cp:lastModifiedBy>Philip Stoddard</cp:lastModifiedBy>
  <cp:revision>5</cp:revision>
  <cp:lastPrinted>2008-10-28T19:53:00Z</cp:lastPrinted>
  <dcterms:created xsi:type="dcterms:W3CDTF">2017-01-09T13:09:00Z</dcterms:created>
  <dcterms:modified xsi:type="dcterms:W3CDTF">2017-05-31T19:17:00Z</dcterms:modified>
</cp:coreProperties>
</file>