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2FE727CB" w:rsidR="00CA6459" w:rsidRPr="0071501F" w:rsidRDefault="00CA6459" w:rsidP="00CF1F63">
      <w:pPr>
        <w:pStyle w:val="Heading1"/>
        <w:jc w:val="center"/>
      </w:pPr>
      <w:r w:rsidRPr="0071501F">
        <w:t>Solar</w:t>
      </w:r>
      <w:r w:rsidR="00E66A66">
        <w:t xml:space="preserve"> and EV Charger</w:t>
      </w:r>
      <w:r w:rsidRPr="0071501F">
        <w:t xml:space="preserve">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005C4FC4"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ED411C">
              <w:rPr>
                <w:rFonts w:ascii="Cambria" w:hAnsi="Cambria"/>
              </w:rPr>
              <w:t xml:space="preserve"> </w:t>
            </w:r>
            <w:r w:rsidR="00ED411C">
              <w:t xml:space="preserve"> </w:t>
            </w:r>
            <w:r w:rsidR="00ED411C">
              <w:rPr>
                <w:rFonts w:ascii="Cambria" w:hAnsi="Cambria"/>
              </w:rPr>
              <w:t xml:space="preserve"> Is there a financing surcharge? (either % price increase or financing or origination fee)</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 xml:space="preserve">Number of years installing PV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4586697C" w:rsidR="00BA6482" w:rsidRDefault="00BA6482" w:rsidP="00BA6482">
            <w:pPr>
              <w:pStyle w:val="ListParagraph"/>
              <w:numPr>
                <w:ilvl w:val="0"/>
                <w:numId w:val="14"/>
              </w:numPr>
            </w:pPr>
            <w:r>
              <w:t xml:space="preserve">Do you pay a living wage </w:t>
            </w:r>
            <w:r w:rsidRPr="00C540A6">
              <w:t>($</w:t>
            </w:r>
            <w:r w:rsidR="00C540A6" w:rsidRPr="00C540A6">
              <w:t>9.50</w:t>
            </w:r>
            <w:r w:rsidRPr="00C540A6">
              <w:t>/hour)</w:t>
            </w:r>
            <w:r>
              <w:t xml:space="preserve"> for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AB79" w14:textId="77777777" w:rsidR="00AF375E" w:rsidRDefault="00AF375E" w:rsidP="00040028">
      <w:r>
        <w:separator/>
      </w:r>
    </w:p>
  </w:endnote>
  <w:endnote w:type="continuationSeparator" w:id="0">
    <w:p w14:paraId="1CE397B5" w14:textId="77777777" w:rsidR="00AF375E" w:rsidRDefault="00AF375E"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36DA" w14:textId="77777777" w:rsidR="00AF375E" w:rsidRDefault="00AF375E" w:rsidP="00040028">
      <w:r>
        <w:separator/>
      </w:r>
    </w:p>
  </w:footnote>
  <w:footnote w:type="continuationSeparator" w:id="0">
    <w:p w14:paraId="57D56699" w14:textId="77777777" w:rsidR="00AF375E" w:rsidRDefault="00AF375E"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3"/>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A6707"/>
    <w:rsid w:val="008C6E40"/>
    <w:rsid w:val="008D6F29"/>
    <w:rsid w:val="008E0B85"/>
    <w:rsid w:val="008E3701"/>
    <w:rsid w:val="008F4779"/>
    <w:rsid w:val="00902609"/>
    <w:rsid w:val="00903204"/>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AF375E"/>
    <w:rsid w:val="00B05CC6"/>
    <w:rsid w:val="00B14B19"/>
    <w:rsid w:val="00B22387"/>
    <w:rsid w:val="00B36B1A"/>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422D1"/>
    <w:rsid w:val="00C540A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D411C"/>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Sukrit Mishra</cp:lastModifiedBy>
  <cp:revision>48</cp:revision>
  <dcterms:created xsi:type="dcterms:W3CDTF">2019-02-14T17:50:00Z</dcterms:created>
  <dcterms:modified xsi:type="dcterms:W3CDTF">2022-01-18T19:32:00Z</dcterms:modified>
</cp:coreProperties>
</file>